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fr-FR"/>
        </w:rPr>
        <w:t xml:space="preserve">Liste des communs 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  <w:lang w:val="fr-FR"/>
        </w:rPr>
        <w:t>voqu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  <w:lang w:val="fr-FR"/>
        </w:rPr>
        <w:t xml:space="preserve">s lors de </w:t>
      </w:r>
      <w:r>
        <w:rPr>
          <w:rFonts w:ascii="Times Roman" w:hAnsi="Times Roman"/>
          <w:rtl w:val="0"/>
        </w:rPr>
        <w:t>l</w:t>
      </w:r>
      <w:r>
        <w:rPr>
          <w:rFonts w:ascii="Times Roman" w:hAnsi="Times Roman" w:hint="default"/>
          <w:rtl w:val="1"/>
        </w:rPr>
        <w:t>’</w:t>
      </w:r>
      <w:r>
        <w:rPr>
          <w:rFonts w:ascii="Times Roman" w:hAnsi="Times Roman"/>
          <w:rtl w:val="0"/>
          <w:lang w:val="fr-FR"/>
        </w:rPr>
        <w:t>a</w:t>
      </w:r>
      <w:r>
        <w:rPr>
          <w:rFonts w:ascii="Times Roman" w:hAnsi="Times Roman"/>
          <w:rtl w:val="0"/>
          <w:lang w:val="fr-FR"/>
        </w:rPr>
        <w:t>telier 2 sur les communs et l</w:t>
      </w:r>
      <w:r>
        <w:rPr>
          <w:rFonts w:ascii="Times Roman" w:hAnsi="Times Roman" w:hint="default"/>
          <w:rtl w:val="0"/>
          <w:lang w:val="fr-FR"/>
        </w:rPr>
        <w:t>’é</w:t>
      </w:r>
      <w:r>
        <w:rPr>
          <w:rFonts w:ascii="Times Roman" w:hAnsi="Times Roman"/>
          <w:rtl w:val="0"/>
          <w:lang w:val="fr-FR"/>
        </w:rPr>
        <w:t>conomie contributive Vers un dispositif de co-production de commun ? Inventer, accompagner et d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  <w:lang w:val="fr-FR"/>
        </w:rPr>
        <w:t>velopper des communs utiles pour le territoire de Gen</w:t>
      </w:r>
      <w:r>
        <w:rPr>
          <w:rFonts w:ascii="Times Roman" w:hAnsi="Times Roman" w:hint="default"/>
          <w:rtl w:val="0"/>
          <w:lang w:val="it-IT"/>
        </w:rPr>
        <w:t>è</w:t>
      </w:r>
      <w:r>
        <w:rPr>
          <w:rFonts w:ascii="Times Roman" w:hAnsi="Times Roman"/>
          <w:rtl w:val="0"/>
        </w:rPr>
        <w:t>ve</w:t>
      </w:r>
      <w:r>
        <w:rPr>
          <w:rFonts w:ascii="Times Roman" w:cs="Times Roman" w:hAnsi="Times Roman" w:eastAsia="Times Roman"/>
          <w:rtl w:val="0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1150620</wp:posOffset>
                </wp:positionH>
                <wp:positionV relativeFrom="line">
                  <wp:posOffset>209640</wp:posOffset>
                </wp:positionV>
                <wp:extent cx="3695029" cy="0"/>
                <wp:effectExtent l="0" t="0" r="0" b="0"/>
                <wp:wrapTopAndBottom distT="152400" distB="152400"/>
                <wp:docPr id="1073741825" name="officeArt object" descr="Lig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029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90.6pt;margin-top:16.5pt;width:290.9pt;height:0.0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w:rPr>
          <w:rFonts w:ascii="Times Roman" w:hAnsi="Times Roman"/>
          <w:rtl w:val="0"/>
        </w:rPr>
        <w:t xml:space="preserve"> </w:t>
      </w: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099"/>
        <w:gridCol w:w="7531"/>
      </w:tblGrid>
      <w:tr>
        <w:tblPrEx>
          <w:shd w:val="clear" w:color="auto" w:fill="bdc0bf"/>
        </w:tblPrEx>
        <w:trPr>
          <w:trHeight w:val="331" w:hRule="atLeast"/>
          <w:tblHeader/>
        </w:trPr>
        <w:tc>
          <w:tcPr>
            <w:tcW w:type="dxa" w:w="20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1"/>
              <w:jc w:val="center"/>
            </w:pPr>
            <w:r>
              <w:rPr>
                <w:rFonts w:ascii="Times Roman" w:hAnsi="Times Roman"/>
                <w:sz w:val="26"/>
                <w:szCs w:val="26"/>
                <w:rtl w:val="0"/>
              </w:rPr>
              <w:t xml:space="preserve">Commun </w:t>
            </w:r>
            <w:r>
              <w:rPr>
                <w:rFonts w:ascii="Times Roman" w:hAnsi="Times Roman" w:hint="default"/>
                <w:sz w:val="26"/>
                <w:szCs w:val="26"/>
                <w:rtl w:val="0"/>
              </w:rPr>
              <w:t>é</w:t>
            </w:r>
            <w:r>
              <w:rPr>
                <w:rFonts w:ascii="Times Roman" w:hAnsi="Times Roman"/>
                <w:sz w:val="26"/>
                <w:szCs w:val="26"/>
                <w:rtl w:val="0"/>
              </w:rPr>
              <w:t>voqu</w:t>
            </w:r>
            <w:r>
              <w:rPr>
                <w:rFonts w:ascii="Times Roman" w:hAnsi="Times Roman" w:hint="default"/>
                <w:sz w:val="26"/>
                <w:szCs w:val="26"/>
                <w:rtl w:val="0"/>
              </w:rPr>
              <w:t xml:space="preserve">é </w:t>
            </w:r>
          </w:p>
        </w:tc>
        <w:tc>
          <w:tcPr>
            <w:tcW w:type="dxa" w:w="75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1"/>
              <w:jc w:val="center"/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Ligne explicative </w:t>
            </w:r>
          </w:p>
        </w:tc>
      </w:tr>
      <w:tr>
        <w:tblPrEx>
          <w:shd w:val="clear" w:color="auto" w:fill="auto"/>
        </w:tblPrEx>
        <w:trPr>
          <w:trHeight w:val="1051" w:hRule="atLeast"/>
        </w:trPr>
        <w:tc>
          <w:tcPr>
            <w:tcW w:type="dxa" w:w="2099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1"/>
              <w:jc w:val="center"/>
            </w:pPr>
            <w:r>
              <w:rPr>
                <w:rFonts w:ascii="Times Roman" w:hAnsi="Times Roman"/>
                <w:sz w:val="22"/>
                <w:szCs w:val="22"/>
                <w:rtl w:val="0"/>
              </w:rPr>
              <w:t>Le Rh</w:t>
            </w:r>
            <w:r>
              <w:rPr>
                <w:rFonts w:ascii="Times Roman" w:hAnsi="Times Roman" w:hint="default"/>
                <w:sz w:val="22"/>
                <w:szCs w:val="22"/>
                <w:rtl w:val="0"/>
              </w:rPr>
              <w:t>ô</w:t>
            </w:r>
            <w:r>
              <w:rPr>
                <w:rFonts w:ascii="Times Roman" w:hAnsi="Times Roman"/>
                <w:sz w:val="22"/>
                <w:szCs w:val="22"/>
                <w:rtl w:val="0"/>
              </w:rPr>
              <w:t xml:space="preserve">ne </w:t>
            </w:r>
          </w:p>
        </w:tc>
        <w:tc>
          <w:tcPr>
            <w:tcW w:type="dxa" w:w="75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0"/>
                <w:szCs w:val="20"/>
                <w:rtl w:val="0"/>
              </w:rPr>
              <w:t>En tant que commun territorial, il inclut une dimension transfrontali</w:t>
            </w:r>
            <w:r>
              <w:rPr>
                <w:rFonts w:ascii="Times Roman" w:hAnsi="Times Roman" w:hint="default"/>
                <w:sz w:val="20"/>
                <w:szCs w:val="20"/>
                <w:rtl w:val="0"/>
              </w:rPr>
              <w:t>è</w:t>
            </w:r>
            <w:r>
              <w:rPr>
                <w:rFonts w:ascii="Times Roman" w:hAnsi="Times Roman"/>
                <w:sz w:val="20"/>
                <w:szCs w:val="20"/>
                <w:rtl w:val="0"/>
              </w:rPr>
              <w:t>re et, en termes de r</w:t>
            </w:r>
            <w:r>
              <w:rPr>
                <w:rFonts w:ascii="Times Roman" w:hAnsi="Times Roman" w:hint="default"/>
                <w:sz w:val="20"/>
                <w:szCs w:val="20"/>
                <w:rtl w:val="0"/>
              </w:rPr>
              <w:t>è</w:t>
            </w:r>
            <w:r>
              <w:rPr>
                <w:rFonts w:ascii="Times Roman" w:hAnsi="Times Roman"/>
                <w:sz w:val="20"/>
                <w:szCs w:val="20"/>
                <w:rtl w:val="0"/>
              </w:rPr>
              <w:t>gles de gouvernance, il y du potentiel de d</w:t>
            </w:r>
            <w:r>
              <w:rPr>
                <w:rFonts w:ascii="Times Roman" w:hAnsi="Times Roman" w:hint="default"/>
                <w:sz w:val="20"/>
                <w:szCs w:val="20"/>
                <w:rtl w:val="0"/>
              </w:rPr>
              <w:t>é</w:t>
            </w:r>
            <w:r>
              <w:rPr>
                <w:rFonts w:ascii="Times Roman" w:hAnsi="Times Roman"/>
                <w:sz w:val="20"/>
                <w:szCs w:val="20"/>
                <w:rtl w:val="0"/>
              </w:rPr>
              <w:t xml:space="preserve">veloppement et cela renvoie </w:t>
            </w:r>
            <w:r>
              <w:rPr>
                <w:rFonts w:ascii="Times Roman" w:hAnsi="Times Roman" w:hint="default"/>
                <w:sz w:val="20"/>
                <w:szCs w:val="20"/>
                <w:rtl w:val="0"/>
              </w:rPr>
              <w:t xml:space="preserve">à </w:t>
            </w:r>
            <w:r>
              <w:rPr>
                <w:rFonts w:ascii="Times Roman" w:hAnsi="Times Roman"/>
                <w:sz w:val="20"/>
                <w:szCs w:val="20"/>
                <w:rtl w:val="0"/>
              </w:rPr>
              <w:t>la reconnaissance et au respect des droits propices au Rh</w:t>
            </w:r>
            <w:r>
              <w:rPr>
                <w:rFonts w:ascii="Times Roman" w:hAnsi="Times Roman" w:hint="default"/>
                <w:sz w:val="20"/>
                <w:szCs w:val="20"/>
                <w:rtl w:val="0"/>
              </w:rPr>
              <w:t>ô</w:t>
            </w:r>
            <w:r>
              <w:rPr>
                <w:rFonts w:ascii="Times Roman" w:hAnsi="Times Roman"/>
                <w:sz w:val="20"/>
                <w:szCs w:val="20"/>
                <w:rtl w:val="0"/>
              </w:rPr>
              <w:t>ne, aux libert</w:t>
            </w:r>
            <w:r>
              <w:rPr>
                <w:rFonts w:ascii="Times Roman" w:hAnsi="Times Roman" w:hint="default"/>
                <w:sz w:val="20"/>
                <w:szCs w:val="20"/>
                <w:rtl w:val="0"/>
              </w:rPr>
              <w:t>é</w:t>
            </w:r>
            <w:r>
              <w:rPr>
                <w:rFonts w:ascii="Times Roman" w:hAnsi="Times Roman"/>
                <w:sz w:val="20"/>
                <w:szCs w:val="20"/>
                <w:rtl w:val="0"/>
              </w:rPr>
              <w:t>s fondamentales, aux limites plan</w:t>
            </w:r>
            <w:r>
              <w:rPr>
                <w:rFonts w:ascii="Times Roman" w:hAnsi="Times Roman" w:hint="default"/>
                <w:sz w:val="20"/>
                <w:szCs w:val="20"/>
                <w:rtl w:val="0"/>
              </w:rPr>
              <w:t>é</w:t>
            </w:r>
            <w:r>
              <w:rPr>
                <w:rFonts w:ascii="Times Roman" w:hAnsi="Times Roman"/>
                <w:sz w:val="20"/>
                <w:szCs w:val="20"/>
                <w:rtl w:val="0"/>
              </w:rPr>
              <w:t>taires et aux r</w:t>
            </w:r>
            <w:r>
              <w:rPr>
                <w:rFonts w:ascii="Times Roman" w:hAnsi="Times Roman" w:hint="default"/>
                <w:sz w:val="20"/>
                <w:szCs w:val="20"/>
                <w:rtl w:val="0"/>
              </w:rPr>
              <w:t>è</w:t>
            </w:r>
            <w:r>
              <w:rPr>
                <w:rFonts w:ascii="Times Roman" w:hAnsi="Times Roman"/>
                <w:sz w:val="20"/>
                <w:szCs w:val="20"/>
                <w:rtl w:val="0"/>
              </w:rPr>
              <w:t>glements d</w:t>
            </w:r>
            <w:r>
              <w:rPr>
                <w:rFonts w:ascii="Times Roman" w:hAnsi="Times Roman" w:hint="default"/>
                <w:sz w:val="20"/>
                <w:szCs w:val="20"/>
                <w:rtl w:val="0"/>
              </w:rPr>
              <w:t>’</w:t>
            </w:r>
            <w:r>
              <w:rPr>
                <w:rFonts w:ascii="Times Roman" w:hAnsi="Times Roman"/>
                <w:sz w:val="20"/>
                <w:szCs w:val="20"/>
                <w:rtl w:val="0"/>
              </w:rPr>
              <w:t>usage.</w:t>
            </w:r>
          </w:p>
        </w:tc>
      </w:tr>
      <w:tr>
        <w:tblPrEx>
          <w:shd w:val="clear" w:color="auto" w:fill="auto"/>
        </w:tblPrEx>
        <w:trPr>
          <w:trHeight w:val="1047" w:hRule="atLeast"/>
        </w:trPr>
        <w:tc>
          <w:tcPr>
            <w:tcW w:type="dxa" w:w="20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Roman" w:hAnsi="Times Roman"/>
                <w:b w:val="1"/>
                <w:bCs w:val="1"/>
                <w:sz w:val="22"/>
                <w:szCs w:val="22"/>
                <w:rtl w:val="0"/>
              </w:rPr>
              <w:t>Plateforme d</w:t>
            </w:r>
            <w:r>
              <w:rPr>
                <w:rFonts w:ascii="Times Roman" w:hAnsi="Times Roman" w:hint="default"/>
                <w:b w:val="1"/>
                <w:bCs w:val="1"/>
                <w:sz w:val="22"/>
                <w:szCs w:val="22"/>
                <w:rtl w:val="0"/>
              </w:rPr>
              <w:t>’é</w:t>
            </w:r>
            <w:r>
              <w:rPr>
                <w:rFonts w:ascii="Times Roman" w:hAnsi="Times Roman"/>
                <w:b w:val="1"/>
                <w:bCs w:val="1"/>
                <w:sz w:val="22"/>
                <w:szCs w:val="22"/>
                <w:rtl w:val="0"/>
              </w:rPr>
              <w:t>change de proximit</w:t>
            </w:r>
            <w:r>
              <w:rPr>
                <w:rFonts w:ascii="Times Roman" w:hAnsi="Times Roman" w:hint="default"/>
                <w:b w:val="1"/>
                <w:bCs w:val="1"/>
                <w:sz w:val="22"/>
                <w:szCs w:val="22"/>
                <w:rtl w:val="0"/>
              </w:rPr>
              <w:t xml:space="preserve">é </w:t>
            </w:r>
            <w:r>
              <w:rPr>
                <w:rFonts w:ascii="Times Roman" w:hAnsi="Times Roman"/>
                <w:b w:val="1"/>
                <w:bCs w:val="1"/>
                <w:sz w:val="22"/>
                <w:szCs w:val="22"/>
                <w:rtl w:val="0"/>
              </w:rPr>
              <w:t>de biens et de services</w:t>
            </w:r>
          </w:p>
        </w:tc>
        <w:tc>
          <w:tcPr>
            <w:tcW w:type="dxa" w:w="753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0"/>
                <w:szCs w:val="20"/>
                <w:rtl w:val="0"/>
              </w:rPr>
              <w:t>Bas</w:t>
            </w:r>
            <w:r>
              <w:rPr>
                <w:rFonts w:ascii="Times Roman" w:hAnsi="Times Roman" w:hint="default"/>
                <w:sz w:val="20"/>
                <w:szCs w:val="20"/>
                <w:rtl w:val="0"/>
              </w:rPr>
              <w:t>é</w:t>
            </w:r>
            <w:r>
              <w:rPr>
                <w:rFonts w:ascii="Times Roman" w:hAnsi="Times Roman"/>
                <w:sz w:val="20"/>
                <w:szCs w:val="20"/>
                <w:rtl w:val="0"/>
              </w:rPr>
              <w:t>e sur le logiciel libre et les principes collaboratifs, l</w:t>
            </w:r>
            <w:r>
              <w:rPr>
                <w:rFonts w:ascii="Times Roman" w:hAnsi="Times Roman" w:hint="default"/>
                <w:sz w:val="20"/>
                <w:szCs w:val="20"/>
                <w:rtl w:val="0"/>
              </w:rPr>
              <w:t>’</w:t>
            </w:r>
            <w:r>
              <w:rPr>
                <w:rFonts w:ascii="Times Roman" w:hAnsi="Times Roman"/>
                <w:sz w:val="20"/>
                <w:szCs w:val="20"/>
                <w:rtl w:val="0"/>
              </w:rPr>
              <w:t>enjeu tourne autour sur la question de comment int</w:t>
            </w:r>
            <w:r>
              <w:rPr>
                <w:rFonts w:ascii="Times Roman" w:hAnsi="Times Roman" w:hint="default"/>
                <w:sz w:val="20"/>
                <w:szCs w:val="20"/>
                <w:rtl w:val="0"/>
              </w:rPr>
              <w:t>é</w:t>
            </w:r>
            <w:r>
              <w:rPr>
                <w:rFonts w:ascii="Times Roman" w:hAnsi="Times Roman"/>
                <w:sz w:val="20"/>
                <w:szCs w:val="20"/>
                <w:rtl w:val="0"/>
              </w:rPr>
              <w:t>grer ce type de plateforme collaborative et contributive sans devoir passer par des r</w:t>
            </w:r>
            <w:r>
              <w:rPr>
                <w:rFonts w:ascii="Times Roman" w:hAnsi="Times Roman" w:hint="default"/>
                <w:sz w:val="20"/>
                <w:szCs w:val="20"/>
                <w:rtl w:val="0"/>
              </w:rPr>
              <w:t>è</w:t>
            </w:r>
            <w:r>
              <w:rPr>
                <w:rFonts w:ascii="Times Roman" w:hAnsi="Times Roman"/>
                <w:sz w:val="20"/>
                <w:szCs w:val="20"/>
                <w:rtl w:val="0"/>
              </w:rPr>
              <w:t>gles d</w:t>
            </w:r>
            <w:r>
              <w:rPr>
                <w:rFonts w:ascii="Times Roman" w:hAnsi="Times Roman" w:hint="default"/>
                <w:sz w:val="20"/>
                <w:szCs w:val="20"/>
                <w:rtl w:val="0"/>
              </w:rPr>
              <w:t>’</w:t>
            </w:r>
            <w:r>
              <w:rPr>
                <w:rFonts w:ascii="Times Roman" w:hAnsi="Times Roman"/>
                <w:sz w:val="20"/>
                <w:szCs w:val="20"/>
                <w:rtl w:val="0"/>
              </w:rPr>
              <w:t xml:space="preserve">usage des institutions des GAFAM, mais aussi la question du </w:t>
            </w:r>
            <w:r>
              <w:rPr>
                <w:rFonts w:ascii="Times Roman" w:hAnsi="Times Roman" w:hint="default"/>
                <w:sz w:val="20"/>
                <w:szCs w:val="20"/>
                <w:rtl w:val="0"/>
              </w:rPr>
              <w:t>“</w:t>
            </w:r>
            <w:r>
              <w:rPr>
                <w:rFonts w:ascii="Times Roman" w:hAnsi="Times Roman"/>
                <w:sz w:val="20"/>
                <w:szCs w:val="20"/>
                <w:rtl w:val="0"/>
              </w:rPr>
              <w:t>login unique</w:t>
            </w:r>
            <w:r>
              <w:rPr>
                <w:rFonts w:ascii="Times Roman" w:hAnsi="Times Roman" w:hint="default"/>
                <w:sz w:val="20"/>
                <w:szCs w:val="20"/>
                <w:rtl w:val="0"/>
              </w:rPr>
              <w:t xml:space="preserve">” </w:t>
            </w:r>
            <w:r>
              <w:rPr>
                <w:rFonts w:ascii="Times Roman" w:hAnsi="Times Roman"/>
                <w:sz w:val="20"/>
                <w:szCs w:val="20"/>
                <w:rtl w:val="0"/>
              </w:rPr>
              <w:t>afin d</w:t>
            </w:r>
            <w:r>
              <w:rPr>
                <w:rFonts w:ascii="Times Roman" w:hAnsi="Times Roman" w:hint="default"/>
                <w:sz w:val="20"/>
                <w:szCs w:val="20"/>
                <w:rtl w:val="0"/>
              </w:rPr>
              <w:t>’é</w:t>
            </w:r>
            <w:r>
              <w:rPr>
                <w:rFonts w:ascii="Times Roman" w:hAnsi="Times Roman"/>
                <w:sz w:val="20"/>
                <w:szCs w:val="20"/>
                <w:rtl w:val="0"/>
              </w:rPr>
              <w:t>viter de d</w:t>
            </w:r>
            <w:r>
              <w:rPr>
                <w:rFonts w:ascii="Times Roman" w:hAnsi="Times Roman" w:hint="default"/>
                <w:sz w:val="20"/>
                <w:szCs w:val="20"/>
                <w:rtl w:val="0"/>
              </w:rPr>
              <w:t>é</w:t>
            </w:r>
            <w:r>
              <w:rPr>
                <w:rFonts w:ascii="Times Roman" w:hAnsi="Times Roman"/>
                <w:sz w:val="20"/>
                <w:szCs w:val="20"/>
                <w:rtl w:val="0"/>
              </w:rPr>
              <w:t>multiplier les logins et comptes sur internet des usagers</w:t>
            </w:r>
          </w:p>
        </w:tc>
      </w:tr>
      <w:tr>
        <w:tblPrEx>
          <w:shd w:val="clear" w:color="auto" w:fill="auto"/>
        </w:tblPrEx>
        <w:trPr>
          <w:trHeight w:val="1047" w:hRule="atLeast"/>
        </w:trPr>
        <w:tc>
          <w:tcPr>
            <w:tcW w:type="dxa" w:w="20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1"/>
              <w:jc w:val="center"/>
            </w:pPr>
            <w:r>
              <w:rPr>
                <w:rFonts w:ascii="Times Roman" w:hAnsi="Times Roman"/>
                <w:sz w:val="22"/>
                <w:szCs w:val="22"/>
                <w:rtl w:val="0"/>
              </w:rPr>
              <w:t>Projet mobilit</w:t>
            </w:r>
            <w:r>
              <w:rPr>
                <w:rFonts w:ascii="Times Roman" w:hAnsi="Times Roman" w:hint="default"/>
                <w:sz w:val="22"/>
                <w:szCs w:val="22"/>
                <w:rtl w:val="0"/>
              </w:rPr>
              <w:t xml:space="preserve">é </w:t>
            </w:r>
            <w:r>
              <w:rPr>
                <w:rFonts w:ascii="Times Roman" w:hAnsi="Times Roman"/>
                <w:sz w:val="22"/>
                <w:szCs w:val="22"/>
                <w:rtl w:val="0"/>
              </w:rPr>
              <w:t>FreeSpace</w:t>
            </w:r>
          </w:p>
        </w:tc>
        <w:tc>
          <w:tcPr>
            <w:tcW w:type="dxa" w:w="753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0"/>
                <w:szCs w:val="20"/>
                <w:rtl w:val="0"/>
              </w:rPr>
              <w:t>Ce projet se d</w:t>
            </w:r>
            <w:r>
              <w:rPr>
                <w:rFonts w:ascii="Times Roman" w:hAnsi="Times Roman" w:hint="default"/>
                <w:sz w:val="20"/>
                <w:szCs w:val="20"/>
                <w:rtl w:val="0"/>
              </w:rPr>
              <w:t>é</w:t>
            </w:r>
            <w:r>
              <w:rPr>
                <w:rFonts w:ascii="Times Roman" w:hAnsi="Times Roman"/>
                <w:sz w:val="20"/>
                <w:szCs w:val="20"/>
                <w:rtl w:val="0"/>
              </w:rPr>
              <w:t xml:space="preserve">finit en tant que commun en </w:t>
            </w:r>
            <w:r>
              <w:rPr>
                <w:rFonts w:ascii="Times Roman" w:hAnsi="Times Roman" w:hint="default"/>
                <w:sz w:val="20"/>
                <w:szCs w:val="20"/>
                <w:rtl w:val="0"/>
              </w:rPr>
              <w:t>é</w:t>
            </w:r>
            <w:r>
              <w:rPr>
                <w:rFonts w:ascii="Times Roman" w:hAnsi="Times Roman"/>
                <w:sz w:val="20"/>
                <w:szCs w:val="20"/>
                <w:rtl w:val="0"/>
              </w:rPr>
              <w:t>mergence de part la m</w:t>
            </w:r>
            <w:r>
              <w:rPr>
                <w:rFonts w:ascii="Times Roman" w:hAnsi="Times Roman" w:hint="default"/>
                <w:sz w:val="20"/>
                <w:szCs w:val="20"/>
                <w:rtl w:val="0"/>
              </w:rPr>
              <w:t>é</w:t>
            </w:r>
            <w:r>
              <w:rPr>
                <w:rFonts w:ascii="Times Roman" w:hAnsi="Times Roman"/>
                <w:sz w:val="20"/>
                <w:szCs w:val="20"/>
                <w:rtl w:val="0"/>
              </w:rPr>
              <w:t>thodologie utilis</w:t>
            </w:r>
            <w:r>
              <w:rPr>
                <w:rFonts w:ascii="Times Roman" w:hAnsi="Times Roman" w:hint="default"/>
                <w:sz w:val="20"/>
                <w:szCs w:val="20"/>
                <w:rtl w:val="0"/>
              </w:rPr>
              <w:t>é</w:t>
            </w:r>
            <w:r>
              <w:rPr>
                <w:rFonts w:ascii="Times Roman" w:hAnsi="Times Roman"/>
                <w:sz w:val="20"/>
                <w:szCs w:val="20"/>
                <w:rtl w:val="0"/>
              </w:rPr>
              <w:t>e et le patrimoine informationnel g</w:t>
            </w:r>
            <w:r>
              <w:rPr>
                <w:rFonts w:ascii="Times Roman" w:hAnsi="Times Roman" w:hint="default"/>
                <w:sz w:val="20"/>
                <w:szCs w:val="20"/>
                <w:rtl w:val="0"/>
              </w:rPr>
              <w:t>é</w:t>
            </w:r>
            <w:r>
              <w:rPr>
                <w:rFonts w:ascii="Times Roman" w:hAnsi="Times Roman"/>
                <w:sz w:val="20"/>
                <w:szCs w:val="20"/>
                <w:rtl w:val="0"/>
              </w:rPr>
              <w:t>n</w:t>
            </w:r>
            <w:r>
              <w:rPr>
                <w:rFonts w:ascii="Times Roman" w:hAnsi="Times Roman" w:hint="default"/>
                <w:sz w:val="20"/>
                <w:szCs w:val="20"/>
                <w:rtl w:val="0"/>
              </w:rPr>
              <w:t>é</w:t>
            </w:r>
            <w:r>
              <w:rPr>
                <w:rFonts w:ascii="Times Roman" w:hAnsi="Times Roman"/>
                <w:sz w:val="20"/>
                <w:szCs w:val="20"/>
                <w:rtl w:val="0"/>
              </w:rPr>
              <w:t>r</w:t>
            </w:r>
            <w:r>
              <w:rPr>
                <w:rFonts w:ascii="Times Roman" w:hAnsi="Times Roman" w:hint="default"/>
                <w:sz w:val="20"/>
                <w:szCs w:val="20"/>
                <w:rtl w:val="0"/>
              </w:rPr>
              <w:t xml:space="preserve">é </w:t>
            </w:r>
            <w:r>
              <w:rPr>
                <w:rFonts w:ascii="Times Roman" w:hAnsi="Times Roman"/>
                <w:sz w:val="20"/>
                <w:szCs w:val="20"/>
                <w:rtl w:val="0"/>
              </w:rPr>
              <w:t>par ce processus qu</w:t>
            </w:r>
            <w:r>
              <w:rPr>
                <w:rFonts w:ascii="Times Roman" w:hAnsi="Times Roman" w:hint="default"/>
                <w:sz w:val="20"/>
                <w:szCs w:val="20"/>
                <w:rtl w:val="0"/>
              </w:rPr>
              <w:t>’</w:t>
            </w:r>
            <w:r>
              <w:rPr>
                <w:rFonts w:ascii="Times Roman" w:hAnsi="Times Roman"/>
                <w:sz w:val="20"/>
                <w:szCs w:val="20"/>
                <w:rtl w:val="0"/>
              </w:rPr>
              <w:t>il favorise: participations citoyennes ouvrant vers la co-construction de nouveaux imaginaires et l</w:t>
            </w:r>
            <w:r>
              <w:rPr>
                <w:rFonts w:ascii="Times Roman" w:hAnsi="Times Roman" w:hint="default"/>
                <w:sz w:val="20"/>
                <w:szCs w:val="20"/>
                <w:rtl w:val="0"/>
              </w:rPr>
              <w:t>’</w:t>
            </w:r>
            <w:r>
              <w:rPr>
                <w:rFonts w:ascii="Times Roman" w:hAnsi="Times Roman"/>
                <w:sz w:val="20"/>
                <w:szCs w:val="20"/>
                <w:rtl w:val="0"/>
              </w:rPr>
              <w:t>innovation ouverte par l</w:t>
            </w:r>
            <w:r>
              <w:rPr>
                <w:rFonts w:ascii="Times Roman" w:hAnsi="Times Roman" w:hint="default"/>
                <w:sz w:val="20"/>
                <w:szCs w:val="20"/>
                <w:rtl w:val="0"/>
              </w:rPr>
              <w:t>’</w:t>
            </w:r>
            <w:r>
              <w:rPr>
                <w:rFonts w:ascii="Times Roman" w:hAnsi="Times Roman"/>
                <w:sz w:val="20"/>
                <w:szCs w:val="20"/>
                <w:rtl w:val="0"/>
              </w:rPr>
              <w:t>intelligence collective.</w:t>
            </w:r>
          </w:p>
        </w:tc>
      </w:tr>
      <w:tr>
        <w:tblPrEx>
          <w:shd w:val="clear" w:color="auto" w:fill="auto"/>
        </w:tblPrEx>
        <w:trPr>
          <w:trHeight w:val="787" w:hRule="atLeast"/>
        </w:trPr>
        <w:tc>
          <w:tcPr>
            <w:tcW w:type="dxa" w:w="20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1"/>
              <w:jc w:val="center"/>
            </w:pPr>
            <w:r>
              <w:rPr>
                <w:rFonts w:ascii="Times Roman" w:hAnsi="Times Roman"/>
                <w:sz w:val="22"/>
                <w:szCs w:val="22"/>
                <w:rtl w:val="0"/>
              </w:rPr>
              <w:t xml:space="preserve">Communs rivaux VS communs non rivaux </w:t>
            </w:r>
          </w:p>
        </w:tc>
        <w:tc>
          <w:tcPr>
            <w:tcW w:type="dxa" w:w="753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left"/>
            </w:pPr>
            <w:r>
              <w:rPr>
                <w:rFonts w:ascii="Times Roman" w:hAnsi="Times Roman"/>
                <w:rtl w:val="0"/>
              </w:rPr>
              <w:t>Les communs rivaux (physiques dans la plupart des cas) impliquent un fort mode de gouvernance et les communs non rivaux(souvent num</w:t>
            </w:r>
            <w:r>
              <w:rPr>
                <w:rFonts w:ascii="Times Roman" w:hAnsi="Times Roman" w:hint="default"/>
                <w:rtl w:val="0"/>
              </w:rPr>
              <w:t>é</w:t>
            </w:r>
            <w:r>
              <w:rPr>
                <w:rFonts w:ascii="Times Roman" w:hAnsi="Times Roman"/>
                <w:rtl w:val="0"/>
              </w:rPr>
              <w:t>riques) tels que les communs informationnels (ex: Wikip</w:t>
            </w:r>
            <w:r>
              <w:rPr>
                <w:rFonts w:ascii="Times Roman" w:hAnsi="Times Roman" w:hint="default"/>
                <w:rtl w:val="0"/>
              </w:rPr>
              <w:t>é</w:t>
            </w:r>
            <w:r>
              <w:rPr>
                <w:rFonts w:ascii="Times Roman" w:hAnsi="Times Roman"/>
                <w:rtl w:val="0"/>
              </w:rPr>
              <w:t>dia).</w:t>
            </w:r>
          </w:p>
        </w:tc>
      </w:tr>
      <w:tr>
        <w:tblPrEx>
          <w:shd w:val="clear" w:color="auto" w:fill="auto"/>
        </w:tblPrEx>
        <w:trPr>
          <w:trHeight w:val="527" w:hRule="atLeast"/>
        </w:trPr>
        <w:tc>
          <w:tcPr>
            <w:tcW w:type="dxa" w:w="20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1"/>
              <w:jc w:val="center"/>
            </w:pPr>
            <w:r>
              <w:rPr>
                <w:rFonts w:ascii="Times Roman" w:hAnsi="Times Roman"/>
                <w:sz w:val="22"/>
                <w:szCs w:val="22"/>
                <w:rtl w:val="0"/>
              </w:rPr>
              <w:t>Communs num</w:t>
            </w:r>
            <w:r>
              <w:rPr>
                <w:rFonts w:ascii="Times Roman" w:hAnsi="Times Roman" w:hint="default"/>
                <w:sz w:val="22"/>
                <w:szCs w:val="22"/>
                <w:rtl w:val="0"/>
              </w:rPr>
              <w:t>é</w:t>
            </w:r>
            <w:r>
              <w:rPr>
                <w:rFonts w:ascii="Times Roman" w:hAnsi="Times Roman"/>
                <w:sz w:val="22"/>
                <w:szCs w:val="22"/>
                <w:rtl w:val="0"/>
              </w:rPr>
              <w:t>riques</w:t>
            </w:r>
          </w:p>
        </w:tc>
        <w:tc>
          <w:tcPr>
            <w:tcW w:type="dxa" w:w="753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0"/>
                <w:szCs w:val="20"/>
                <w:rtl w:val="0"/>
              </w:rPr>
              <w:t xml:space="preserve">Des plateformes  qui peuvent </w:t>
            </w:r>
            <w:r>
              <w:rPr>
                <w:rFonts w:ascii="Times Roman" w:hAnsi="Times Roman" w:hint="default"/>
                <w:sz w:val="20"/>
                <w:szCs w:val="20"/>
                <w:rtl w:val="0"/>
              </w:rPr>
              <w:t>ê</w:t>
            </w:r>
            <w:r>
              <w:rPr>
                <w:rFonts w:ascii="Times Roman" w:hAnsi="Times Roman"/>
                <w:sz w:val="20"/>
                <w:szCs w:val="20"/>
                <w:rtl w:val="0"/>
              </w:rPr>
              <w:t>tre consid</w:t>
            </w:r>
            <w:r>
              <w:rPr>
                <w:rFonts w:ascii="Times Roman" w:hAnsi="Times Roman" w:hint="default"/>
                <w:sz w:val="20"/>
                <w:szCs w:val="20"/>
                <w:rtl w:val="0"/>
              </w:rPr>
              <w:t>é</w:t>
            </w:r>
            <w:r>
              <w:rPr>
                <w:rFonts w:ascii="Times Roman" w:hAnsi="Times Roman"/>
                <w:sz w:val="20"/>
                <w:szCs w:val="20"/>
                <w:rtl w:val="0"/>
              </w:rPr>
              <w:t>r</w:t>
            </w:r>
            <w:r>
              <w:rPr>
                <w:rFonts w:ascii="Times Roman" w:hAnsi="Times Roman" w:hint="default"/>
                <w:sz w:val="20"/>
                <w:szCs w:val="20"/>
                <w:rtl w:val="0"/>
              </w:rPr>
              <w:t>é</w:t>
            </w:r>
            <w:r>
              <w:rPr>
                <w:rFonts w:ascii="Times Roman" w:hAnsi="Times Roman"/>
                <w:sz w:val="20"/>
                <w:szCs w:val="20"/>
                <w:rtl w:val="0"/>
              </w:rPr>
              <w:t>e comme des communs et con</w:t>
            </w:r>
            <w:r>
              <w:rPr>
                <w:rFonts w:ascii="Times Roman" w:hAnsi="Times Roman" w:hint="default"/>
                <w:sz w:val="20"/>
                <w:szCs w:val="20"/>
                <w:rtl w:val="0"/>
              </w:rPr>
              <w:t>ç</w:t>
            </w:r>
            <w:r>
              <w:rPr>
                <w:rFonts w:ascii="Times Roman" w:hAnsi="Times Roman"/>
                <w:sz w:val="20"/>
                <w:szCs w:val="20"/>
                <w:rtl w:val="0"/>
              </w:rPr>
              <w:t>ues comme porte d</w:t>
            </w:r>
            <w:r>
              <w:rPr>
                <w:rFonts w:ascii="Times Roman" w:hAnsi="Times Roman" w:hint="default"/>
                <w:sz w:val="20"/>
                <w:szCs w:val="20"/>
                <w:rtl w:val="0"/>
              </w:rPr>
              <w:t>’</w:t>
            </w:r>
            <w:r>
              <w:rPr>
                <w:rFonts w:ascii="Times Roman" w:hAnsi="Times Roman"/>
                <w:sz w:val="20"/>
                <w:szCs w:val="20"/>
                <w:rtl w:val="0"/>
              </w:rPr>
              <w:t>entr</w:t>
            </w:r>
            <w:r>
              <w:rPr>
                <w:rFonts w:ascii="Times Roman" w:hAnsi="Times Roman" w:hint="default"/>
                <w:sz w:val="20"/>
                <w:szCs w:val="20"/>
                <w:rtl w:val="0"/>
              </w:rPr>
              <w:t>é</w:t>
            </w:r>
            <w:r>
              <w:rPr>
                <w:rFonts w:ascii="Times Roman" w:hAnsi="Times Roman"/>
                <w:sz w:val="20"/>
                <w:szCs w:val="20"/>
                <w:rtl w:val="0"/>
              </w:rPr>
              <w:t>e aux ressources partag</w:t>
            </w:r>
            <w:r>
              <w:rPr>
                <w:rFonts w:ascii="Times Roman" w:hAnsi="Times Roman" w:hint="default"/>
                <w:sz w:val="20"/>
                <w:szCs w:val="20"/>
                <w:rtl w:val="0"/>
              </w:rPr>
              <w:t>é</w:t>
            </w:r>
            <w:r>
              <w:rPr>
                <w:rFonts w:ascii="Times Roman" w:hAnsi="Times Roman"/>
                <w:sz w:val="20"/>
                <w:szCs w:val="20"/>
                <w:rtl w:val="0"/>
              </w:rPr>
              <w:t>es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0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Roman" w:hAnsi="Times Roman"/>
                <w:b w:val="1"/>
                <w:bCs w:val="1"/>
                <w:sz w:val="22"/>
                <w:szCs w:val="22"/>
                <w:rtl w:val="0"/>
              </w:rPr>
              <w:t>Le quartier</w:t>
            </w:r>
          </w:p>
        </w:tc>
        <w:tc>
          <w:tcPr>
            <w:tcW w:type="dxa" w:w="753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0"/>
                <w:szCs w:val="20"/>
                <w:rtl w:val="0"/>
              </w:rPr>
              <w:t>Le quartier comme axe territorial pour redistribuer le pouvoir au niveau local</w:t>
            </w:r>
          </w:p>
        </w:tc>
      </w:tr>
      <w:tr>
        <w:tblPrEx>
          <w:shd w:val="clear" w:color="auto" w:fill="auto"/>
        </w:tblPrEx>
        <w:trPr>
          <w:trHeight w:val="787" w:hRule="atLeast"/>
        </w:trPr>
        <w:tc>
          <w:tcPr>
            <w:tcW w:type="dxa" w:w="20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Roman" w:hAnsi="Times Roman"/>
                <w:b w:val="1"/>
                <w:bCs w:val="1"/>
                <w:sz w:val="22"/>
                <w:szCs w:val="22"/>
                <w:rtl w:val="0"/>
              </w:rPr>
              <w:t xml:space="preserve">Les espaces verts et publics </w:t>
            </w:r>
          </w:p>
        </w:tc>
        <w:tc>
          <w:tcPr>
            <w:tcW w:type="dxa" w:w="753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0"/>
                <w:szCs w:val="20"/>
                <w:rtl w:val="0"/>
              </w:rPr>
              <w:t>Ces communs en ont une importance de les mettre au profit du collectif. Il s</w:t>
            </w:r>
            <w:r>
              <w:rPr>
                <w:rFonts w:ascii="Times Roman" w:hAnsi="Times Roman" w:hint="default"/>
                <w:sz w:val="20"/>
                <w:szCs w:val="20"/>
                <w:rtl w:val="0"/>
              </w:rPr>
              <w:t>’</w:t>
            </w:r>
            <w:r>
              <w:rPr>
                <w:rFonts w:ascii="Times Roman" w:hAnsi="Times Roman"/>
                <w:sz w:val="20"/>
                <w:szCs w:val="20"/>
                <w:rtl w:val="0"/>
              </w:rPr>
              <w:t>agit de reconsid</w:t>
            </w:r>
            <w:r>
              <w:rPr>
                <w:rFonts w:ascii="Times Roman" w:hAnsi="Times Roman" w:hint="default"/>
                <w:sz w:val="20"/>
                <w:szCs w:val="20"/>
                <w:rtl w:val="0"/>
              </w:rPr>
              <w:t>é</w:t>
            </w:r>
            <w:r>
              <w:rPr>
                <w:rFonts w:ascii="Times Roman" w:hAnsi="Times Roman"/>
                <w:sz w:val="20"/>
                <w:szCs w:val="20"/>
                <w:rtl w:val="0"/>
              </w:rPr>
              <w:t>rer ces espaces et les transformer en communs au service des quartiers avec un mode de gouvernance partag</w:t>
            </w:r>
            <w:r>
              <w:rPr>
                <w:rFonts w:ascii="Times Roman" w:hAnsi="Times Roman" w:hint="default"/>
                <w:sz w:val="20"/>
                <w:szCs w:val="20"/>
                <w:rtl w:val="0"/>
              </w:rPr>
              <w:t xml:space="preserve">é </w:t>
            </w:r>
            <w:r>
              <w:rPr>
                <w:rFonts w:ascii="Times Roman" w:hAnsi="Times Roman"/>
                <w:sz w:val="20"/>
                <w:szCs w:val="20"/>
                <w:rtl w:val="0"/>
              </w:rPr>
              <w:t xml:space="preserve">par les citoyens des quartiers (exemple : association </w:t>
            </w:r>
            <w:r>
              <w:rPr>
                <w:rFonts w:ascii="Times Roman" w:hAnsi="Times Roman" w:hint="default"/>
                <w:sz w:val="20"/>
                <w:szCs w:val="20"/>
                <w:rtl w:val="0"/>
              </w:rPr>
              <w:t>î</w:t>
            </w:r>
            <w:r>
              <w:rPr>
                <w:rFonts w:ascii="Times Roman" w:hAnsi="Times Roman"/>
                <w:sz w:val="20"/>
                <w:szCs w:val="20"/>
                <w:rtl w:val="0"/>
              </w:rPr>
              <w:t xml:space="preserve">lot 13) </w:t>
            </w:r>
          </w:p>
        </w:tc>
      </w:tr>
      <w:tr>
        <w:tblPrEx>
          <w:shd w:val="clear" w:color="auto" w:fill="auto"/>
        </w:tblPrEx>
        <w:trPr>
          <w:trHeight w:val="1047" w:hRule="atLeast"/>
        </w:trPr>
        <w:tc>
          <w:tcPr>
            <w:tcW w:type="dxa" w:w="20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Roman" w:hAnsi="Times Roman"/>
                <w:b w:val="1"/>
                <w:bCs w:val="1"/>
                <w:sz w:val="22"/>
                <w:szCs w:val="22"/>
                <w:rtl w:val="0"/>
              </w:rPr>
              <w:t>Les parcs</w:t>
            </w:r>
          </w:p>
        </w:tc>
        <w:tc>
          <w:tcPr>
            <w:tcW w:type="dxa" w:w="753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0"/>
                <w:szCs w:val="20"/>
                <w:rtl w:val="0"/>
              </w:rPr>
              <w:t xml:space="preserve">Ils ont </w:t>
            </w:r>
            <w:r>
              <w:rPr>
                <w:rFonts w:ascii="Times Roman" w:hAnsi="Times Roman" w:hint="default"/>
                <w:sz w:val="20"/>
                <w:szCs w:val="20"/>
                <w:rtl w:val="0"/>
              </w:rPr>
              <w:t>é</w:t>
            </w:r>
            <w:r>
              <w:rPr>
                <w:rFonts w:ascii="Times Roman" w:hAnsi="Times Roman"/>
                <w:sz w:val="20"/>
                <w:szCs w:val="20"/>
                <w:rtl w:val="0"/>
              </w:rPr>
              <w:t>t</w:t>
            </w:r>
            <w:r>
              <w:rPr>
                <w:rFonts w:ascii="Times Roman" w:hAnsi="Times Roman" w:hint="default"/>
                <w:sz w:val="20"/>
                <w:szCs w:val="20"/>
                <w:rtl w:val="0"/>
              </w:rPr>
              <w:t xml:space="preserve">é </w:t>
            </w:r>
            <w:r>
              <w:rPr>
                <w:rFonts w:ascii="Times Roman" w:hAnsi="Times Roman"/>
                <w:sz w:val="20"/>
                <w:szCs w:val="20"/>
                <w:rtl w:val="0"/>
              </w:rPr>
              <w:t>mentionn</w:t>
            </w:r>
            <w:r>
              <w:rPr>
                <w:rFonts w:ascii="Times Roman" w:hAnsi="Times Roman" w:hint="default"/>
                <w:sz w:val="20"/>
                <w:szCs w:val="20"/>
                <w:rtl w:val="0"/>
              </w:rPr>
              <w:t xml:space="preserve">é </w:t>
            </w:r>
            <w:r>
              <w:rPr>
                <w:rFonts w:ascii="Times Roman" w:hAnsi="Times Roman"/>
                <w:sz w:val="20"/>
                <w:szCs w:val="20"/>
                <w:rtl w:val="0"/>
              </w:rPr>
              <w:t>par le fait qu</w:t>
            </w:r>
            <w:r>
              <w:rPr>
                <w:rFonts w:ascii="Times Roman" w:hAnsi="Times Roman" w:hint="default"/>
                <w:sz w:val="20"/>
                <w:szCs w:val="20"/>
                <w:rtl w:val="0"/>
              </w:rPr>
              <w:t>’</w:t>
            </w:r>
            <w:r>
              <w:rPr>
                <w:rFonts w:ascii="Times Roman" w:hAnsi="Times Roman"/>
                <w:sz w:val="20"/>
                <w:szCs w:val="20"/>
                <w:rtl w:val="0"/>
              </w:rPr>
              <w:t>ils devraient devenir un commun pour le bien de la communaut</w:t>
            </w:r>
            <w:r>
              <w:rPr>
                <w:rFonts w:ascii="Times Roman" w:hAnsi="Times Roman" w:hint="default"/>
                <w:sz w:val="20"/>
                <w:szCs w:val="20"/>
                <w:rtl w:val="0"/>
              </w:rPr>
              <w:t xml:space="preserve">é </w:t>
            </w:r>
            <w:r>
              <w:rPr>
                <w:rFonts w:ascii="Times Roman" w:hAnsi="Times Roman"/>
                <w:sz w:val="20"/>
                <w:szCs w:val="20"/>
                <w:rtl w:val="0"/>
              </w:rPr>
              <w:t>afin de r</w:t>
            </w:r>
            <w:r>
              <w:rPr>
                <w:rFonts w:ascii="Times Roman" w:hAnsi="Times Roman" w:hint="default"/>
                <w:sz w:val="20"/>
                <w:szCs w:val="20"/>
                <w:rtl w:val="0"/>
              </w:rPr>
              <w:t>é</w:t>
            </w:r>
            <w:r>
              <w:rPr>
                <w:rFonts w:ascii="Times Roman" w:hAnsi="Times Roman"/>
                <w:sz w:val="20"/>
                <w:szCs w:val="20"/>
                <w:rtl w:val="0"/>
              </w:rPr>
              <w:t>pondre aux diff</w:t>
            </w:r>
            <w:r>
              <w:rPr>
                <w:rFonts w:ascii="Times Roman" w:hAnsi="Times Roman" w:hint="default"/>
                <w:sz w:val="20"/>
                <w:szCs w:val="20"/>
                <w:rtl w:val="0"/>
              </w:rPr>
              <w:t>é</w:t>
            </w:r>
            <w:r>
              <w:rPr>
                <w:rFonts w:ascii="Times Roman" w:hAnsi="Times Roman"/>
                <w:sz w:val="20"/>
                <w:szCs w:val="20"/>
                <w:rtl w:val="0"/>
              </w:rPr>
              <w:t>rents besoins des citoyens et citoyennes genevois. La co-cr</w:t>
            </w:r>
            <w:r>
              <w:rPr>
                <w:rFonts w:ascii="Times Roman" w:hAnsi="Times Roman" w:hint="default"/>
                <w:sz w:val="20"/>
                <w:szCs w:val="20"/>
                <w:rtl w:val="0"/>
              </w:rPr>
              <w:t>é</w:t>
            </w:r>
            <w:r>
              <w:rPr>
                <w:rFonts w:ascii="Times Roman" w:hAnsi="Times Roman"/>
                <w:sz w:val="20"/>
                <w:szCs w:val="20"/>
                <w:rtl w:val="0"/>
              </w:rPr>
              <w:t>ation du commun autour des parcs publics serait valorisante et s</w:t>
            </w:r>
            <w:r>
              <w:rPr>
                <w:rFonts w:ascii="Times Roman" w:hAnsi="Times Roman" w:hint="default"/>
                <w:sz w:val="20"/>
                <w:szCs w:val="20"/>
                <w:rtl w:val="0"/>
              </w:rPr>
              <w:t>’</w:t>
            </w:r>
            <w:r>
              <w:rPr>
                <w:rFonts w:ascii="Times Roman" w:hAnsi="Times Roman"/>
                <w:sz w:val="20"/>
                <w:szCs w:val="20"/>
                <w:rtl w:val="0"/>
              </w:rPr>
              <w:t>inscrirait dans une d</w:t>
            </w:r>
            <w:r>
              <w:rPr>
                <w:rFonts w:ascii="Times Roman" w:hAnsi="Times Roman" w:hint="default"/>
                <w:sz w:val="20"/>
                <w:szCs w:val="20"/>
                <w:rtl w:val="0"/>
              </w:rPr>
              <w:t>é</w:t>
            </w:r>
            <w:r>
              <w:rPr>
                <w:rFonts w:ascii="Times Roman" w:hAnsi="Times Roman"/>
                <w:sz w:val="20"/>
                <w:szCs w:val="20"/>
                <w:rtl w:val="0"/>
              </w:rPr>
              <w:t xml:space="preserve">marche de transition </w:t>
            </w:r>
            <w:r>
              <w:rPr>
                <w:rFonts w:ascii="Times Roman" w:hAnsi="Times Roman" w:hint="default"/>
                <w:sz w:val="20"/>
                <w:szCs w:val="20"/>
                <w:rtl w:val="0"/>
              </w:rPr>
              <w:t>é</w:t>
            </w:r>
            <w:r>
              <w:rPr>
                <w:rFonts w:ascii="Times Roman" w:hAnsi="Times Roman"/>
                <w:sz w:val="20"/>
                <w:szCs w:val="20"/>
                <w:rtl w:val="0"/>
              </w:rPr>
              <w:t>cologique et sociale du territoire</w:t>
            </w:r>
          </w:p>
        </w:tc>
      </w:tr>
      <w:tr>
        <w:tblPrEx>
          <w:shd w:val="clear" w:color="auto" w:fill="auto"/>
        </w:tblPrEx>
        <w:trPr>
          <w:trHeight w:val="1047" w:hRule="atLeast"/>
        </w:trPr>
        <w:tc>
          <w:tcPr>
            <w:tcW w:type="dxa" w:w="20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Roman" w:hAnsi="Times Roman"/>
                <w:b w:val="1"/>
                <w:bCs w:val="1"/>
                <w:sz w:val="22"/>
                <w:szCs w:val="22"/>
                <w:rtl w:val="0"/>
              </w:rPr>
              <w:t xml:space="preserve">Communs historiques </w:t>
            </w:r>
          </w:p>
        </w:tc>
        <w:tc>
          <w:tcPr>
            <w:tcW w:type="dxa" w:w="753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0"/>
                <w:szCs w:val="20"/>
                <w:rtl w:val="0"/>
              </w:rPr>
              <w:t>La pr</w:t>
            </w:r>
            <w:r>
              <w:rPr>
                <w:rFonts w:ascii="Times Roman" w:hAnsi="Times Roman" w:hint="default"/>
                <w:sz w:val="20"/>
                <w:szCs w:val="20"/>
                <w:rtl w:val="0"/>
              </w:rPr>
              <w:t>é</w:t>
            </w:r>
            <w:r>
              <w:rPr>
                <w:rFonts w:ascii="Times Roman" w:hAnsi="Times Roman"/>
                <w:sz w:val="20"/>
                <w:szCs w:val="20"/>
                <w:rtl w:val="0"/>
              </w:rPr>
              <w:t>servation de ces communs permettaient notamment aux communaut</w:t>
            </w:r>
            <w:r>
              <w:rPr>
                <w:rFonts w:ascii="Times Roman" w:hAnsi="Times Roman" w:hint="default"/>
                <w:sz w:val="20"/>
                <w:szCs w:val="20"/>
                <w:rtl w:val="0"/>
              </w:rPr>
              <w:t>é</w:t>
            </w:r>
            <w:r>
              <w:rPr>
                <w:rFonts w:ascii="Times Roman" w:hAnsi="Times Roman"/>
                <w:sz w:val="20"/>
                <w:szCs w:val="20"/>
                <w:rtl w:val="0"/>
              </w:rPr>
              <w:t>s de prendre soin des choses ensemble tout en cr</w:t>
            </w:r>
            <w:r>
              <w:rPr>
                <w:rFonts w:ascii="Times Roman" w:hAnsi="Times Roman" w:hint="default"/>
                <w:sz w:val="20"/>
                <w:szCs w:val="20"/>
                <w:rtl w:val="0"/>
              </w:rPr>
              <w:t>é</w:t>
            </w:r>
            <w:r>
              <w:rPr>
                <w:rFonts w:ascii="Times Roman" w:hAnsi="Times Roman"/>
                <w:sz w:val="20"/>
                <w:szCs w:val="20"/>
                <w:rtl w:val="0"/>
              </w:rPr>
              <w:t>ant du lien social. Une meilleure conservation de la biodiversit</w:t>
            </w:r>
            <w:r>
              <w:rPr>
                <w:rFonts w:ascii="Times Roman" w:hAnsi="Times Roman" w:hint="default"/>
                <w:sz w:val="20"/>
                <w:szCs w:val="20"/>
                <w:rtl w:val="0"/>
              </w:rPr>
              <w:t xml:space="preserve">é </w:t>
            </w:r>
            <w:r>
              <w:rPr>
                <w:rFonts w:ascii="Times Roman" w:hAnsi="Times Roman"/>
                <w:sz w:val="20"/>
                <w:szCs w:val="20"/>
                <w:rtl w:val="0"/>
              </w:rPr>
              <w:t xml:space="preserve">et de la nature pourrait notamment </w:t>
            </w:r>
            <w:r>
              <w:rPr>
                <w:rFonts w:ascii="Times Roman" w:hAnsi="Times Roman" w:hint="default"/>
                <w:sz w:val="20"/>
                <w:szCs w:val="20"/>
                <w:rtl w:val="0"/>
              </w:rPr>
              <w:t>ê</w:t>
            </w:r>
            <w:r>
              <w:rPr>
                <w:rFonts w:ascii="Times Roman" w:hAnsi="Times Roman"/>
                <w:sz w:val="20"/>
                <w:szCs w:val="20"/>
                <w:rtl w:val="0"/>
              </w:rPr>
              <w:t>tre constat</w:t>
            </w:r>
            <w:r>
              <w:rPr>
                <w:rFonts w:ascii="Times Roman" w:hAnsi="Times Roman" w:hint="default"/>
                <w:sz w:val="20"/>
                <w:szCs w:val="20"/>
                <w:rtl w:val="0"/>
              </w:rPr>
              <w:t>é</w:t>
            </w:r>
            <w:r>
              <w:rPr>
                <w:rFonts w:ascii="Times Roman" w:hAnsi="Times Roman"/>
                <w:sz w:val="20"/>
                <w:szCs w:val="20"/>
                <w:rtl w:val="0"/>
              </w:rPr>
              <w:t>e, en contraste avec d</w:t>
            </w:r>
            <w:r>
              <w:rPr>
                <w:rFonts w:ascii="Times Roman" w:hAnsi="Times Roman" w:hint="default"/>
                <w:sz w:val="20"/>
                <w:szCs w:val="20"/>
                <w:rtl w:val="0"/>
              </w:rPr>
              <w:t>’</w:t>
            </w:r>
            <w:r>
              <w:rPr>
                <w:rFonts w:ascii="Times Roman" w:hAnsi="Times Roman"/>
                <w:sz w:val="20"/>
                <w:szCs w:val="20"/>
                <w:rtl w:val="0"/>
              </w:rPr>
              <w:t>autres formes de propri</w:t>
            </w:r>
            <w:r>
              <w:rPr>
                <w:rFonts w:ascii="Times Roman" w:hAnsi="Times Roman" w:hint="default"/>
                <w:sz w:val="20"/>
                <w:szCs w:val="20"/>
                <w:rtl w:val="0"/>
              </w:rPr>
              <w:t>é</w:t>
            </w:r>
            <w:r>
              <w:rPr>
                <w:rFonts w:ascii="Times Roman" w:hAnsi="Times Roman"/>
                <w:sz w:val="20"/>
                <w:szCs w:val="20"/>
                <w:rtl w:val="0"/>
              </w:rPr>
              <w:t>t</w:t>
            </w:r>
            <w:r>
              <w:rPr>
                <w:rFonts w:ascii="Times Roman" w:hAnsi="Times Roman" w:hint="default"/>
                <w:sz w:val="20"/>
                <w:szCs w:val="20"/>
                <w:rtl w:val="0"/>
              </w:rPr>
              <w:t>é</w:t>
            </w:r>
          </w:p>
        </w:tc>
      </w:tr>
      <w:tr>
        <w:tblPrEx>
          <w:shd w:val="clear" w:color="auto" w:fill="auto"/>
        </w:tblPrEx>
        <w:trPr>
          <w:trHeight w:val="787" w:hRule="atLeast"/>
        </w:trPr>
        <w:tc>
          <w:tcPr>
            <w:tcW w:type="dxa" w:w="20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Roman" w:hAnsi="Times Roman"/>
                <w:b w:val="1"/>
                <w:bCs w:val="1"/>
                <w:sz w:val="22"/>
                <w:szCs w:val="22"/>
                <w:rtl w:val="0"/>
              </w:rPr>
              <w:t>Les vergers historiques de Gen</w:t>
            </w:r>
            <w:r>
              <w:rPr>
                <w:rFonts w:ascii="Times Roman" w:hAnsi="Times Roman" w:hint="default"/>
                <w:b w:val="1"/>
                <w:bCs w:val="1"/>
                <w:sz w:val="22"/>
                <w:szCs w:val="22"/>
                <w:rtl w:val="0"/>
              </w:rPr>
              <w:t>è</w:t>
            </w:r>
            <w:r>
              <w:rPr>
                <w:rFonts w:ascii="Times Roman" w:hAnsi="Times Roman"/>
                <w:b w:val="1"/>
                <w:bCs w:val="1"/>
                <w:sz w:val="22"/>
                <w:szCs w:val="22"/>
                <w:rtl w:val="0"/>
              </w:rPr>
              <w:t xml:space="preserve">ve </w:t>
            </w:r>
          </w:p>
        </w:tc>
        <w:tc>
          <w:tcPr>
            <w:tcW w:type="dxa" w:w="753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0"/>
                <w:szCs w:val="20"/>
                <w:rtl w:val="0"/>
              </w:rPr>
              <w:t xml:space="preserve">Exemple de commun menant </w:t>
            </w:r>
            <w:r>
              <w:rPr>
                <w:rFonts w:ascii="Times Roman" w:hAnsi="Times Roman" w:hint="default"/>
                <w:sz w:val="20"/>
                <w:szCs w:val="20"/>
                <w:rtl w:val="0"/>
              </w:rPr>
              <w:t xml:space="preserve">à </w:t>
            </w:r>
            <w:r>
              <w:rPr>
                <w:rFonts w:ascii="Times Roman" w:hAnsi="Times Roman"/>
                <w:sz w:val="20"/>
                <w:szCs w:val="20"/>
                <w:rtl w:val="0"/>
              </w:rPr>
              <w:t>des questions sur la propri</w:t>
            </w:r>
            <w:r>
              <w:rPr>
                <w:rFonts w:ascii="Times Roman" w:hAnsi="Times Roman" w:hint="default"/>
                <w:sz w:val="20"/>
                <w:szCs w:val="20"/>
                <w:rtl w:val="0"/>
              </w:rPr>
              <w:t>é</w:t>
            </w:r>
            <w:r>
              <w:rPr>
                <w:rFonts w:ascii="Times Roman" w:hAnsi="Times Roman"/>
                <w:sz w:val="20"/>
                <w:szCs w:val="20"/>
                <w:rtl w:val="0"/>
              </w:rPr>
              <w:t>t</w:t>
            </w:r>
            <w:r>
              <w:rPr>
                <w:rFonts w:ascii="Times Roman" w:hAnsi="Times Roman" w:hint="default"/>
                <w:sz w:val="20"/>
                <w:szCs w:val="20"/>
                <w:rtl w:val="0"/>
              </w:rPr>
              <w:t xml:space="preserve">é </w:t>
            </w:r>
            <w:r>
              <w:rPr>
                <w:rFonts w:ascii="Times Roman" w:hAnsi="Times Roman"/>
                <w:sz w:val="20"/>
                <w:szCs w:val="20"/>
                <w:rtl w:val="0"/>
              </w:rPr>
              <w:t>fonci</w:t>
            </w:r>
            <w:r>
              <w:rPr>
                <w:rFonts w:ascii="Times Roman" w:hAnsi="Times Roman" w:hint="default"/>
                <w:sz w:val="20"/>
                <w:szCs w:val="20"/>
                <w:rtl w:val="0"/>
              </w:rPr>
              <w:t>è</w:t>
            </w:r>
            <w:r>
              <w:rPr>
                <w:rFonts w:ascii="Times Roman" w:hAnsi="Times Roman"/>
                <w:sz w:val="20"/>
                <w:szCs w:val="20"/>
                <w:rtl w:val="0"/>
              </w:rPr>
              <w:t>re (</w:t>
            </w:r>
            <w:r>
              <w:rPr>
                <w:rFonts w:ascii="Times Roman" w:hAnsi="Times Roman" w:hint="default"/>
                <w:sz w:val="20"/>
                <w:szCs w:val="20"/>
                <w:rtl w:val="0"/>
              </w:rPr>
              <w:t xml:space="preserve">à </w:t>
            </w:r>
            <w:r>
              <w:rPr>
                <w:rFonts w:ascii="Times Roman" w:hAnsi="Times Roman"/>
                <w:sz w:val="20"/>
                <w:szCs w:val="20"/>
                <w:rtl w:val="0"/>
              </w:rPr>
              <w:t>qui revient l</w:t>
            </w:r>
            <w:r>
              <w:rPr>
                <w:rFonts w:ascii="Times Roman" w:hAnsi="Times Roman" w:hint="default"/>
                <w:sz w:val="20"/>
                <w:szCs w:val="20"/>
                <w:rtl w:val="0"/>
              </w:rPr>
              <w:t>’</w:t>
            </w:r>
            <w:r>
              <w:rPr>
                <w:rFonts w:ascii="Times Roman" w:hAnsi="Times Roman"/>
                <w:sz w:val="20"/>
                <w:szCs w:val="20"/>
                <w:rtl w:val="0"/>
              </w:rPr>
              <w:t>usage de droits) mais aussi sur la question de l</w:t>
            </w:r>
            <w:r>
              <w:rPr>
                <w:rFonts w:ascii="Times Roman" w:hAnsi="Times Roman" w:hint="default"/>
                <w:sz w:val="20"/>
                <w:szCs w:val="20"/>
                <w:rtl w:val="0"/>
              </w:rPr>
              <w:t>’é</w:t>
            </w:r>
            <w:r>
              <w:rPr>
                <w:rFonts w:ascii="Times Roman" w:hAnsi="Times Roman"/>
                <w:sz w:val="20"/>
                <w:szCs w:val="20"/>
                <w:rtl w:val="0"/>
              </w:rPr>
              <w:t>cologie (en termes de sol, qualit</w:t>
            </w:r>
            <w:r>
              <w:rPr>
                <w:rFonts w:ascii="Times Roman" w:hAnsi="Times Roman" w:hint="default"/>
                <w:sz w:val="20"/>
                <w:szCs w:val="20"/>
                <w:rtl w:val="0"/>
              </w:rPr>
              <w:t xml:space="preserve">é </w:t>
            </w:r>
            <w:r>
              <w:rPr>
                <w:rFonts w:ascii="Times Roman" w:hAnsi="Times Roman"/>
                <w:sz w:val="20"/>
                <w:szCs w:val="20"/>
                <w:rtl w:val="0"/>
              </w:rPr>
              <w:t>par exemple)</w:t>
            </w:r>
          </w:p>
        </w:tc>
      </w:tr>
      <w:tr>
        <w:tblPrEx>
          <w:shd w:val="clear" w:color="auto" w:fill="auto"/>
        </w:tblPrEx>
        <w:trPr>
          <w:trHeight w:val="1047" w:hRule="atLeast"/>
        </w:trPr>
        <w:tc>
          <w:tcPr>
            <w:tcW w:type="dxa" w:w="20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Roman" w:hAnsi="Times Roman"/>
                <w:b w:val="1"/>
                <w:bCs w:val="1"/>
                <w:sz w:val="22"/>
                <w:szCs w:val="22"/>
                <w:rtl w:val="0"/>
              </w:rPr>
              <w:t xml:space="preserve">Les tiers-lieux </w:t>
            </w:r>
          </w:p>
        </w:tc>
        <w:tc>
          <w:tcPr>
            <w:tcW w:type="dxa" w:w="753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0"/>
                <w:szCs w:val="20"/>
                <w:rtl w:val="0"/>
                <w:lang w:val="fr-FR"/>
              </w:rPr>
              <w:t xml:space="preserve">92 tiers-lieux ont </w:t>
            </w:r>
            <w:r>
              <w:rPr>
                <w:rFonts w:ascii="Times Roman" w:hAnsi="Times Roman" w:hint="default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Fonts w:ascii="Times Roman" w:hAnsi="Times Roman"/>
                <w:sz w:val="20"/>
                <w:szCs w:val="20"/>
                <w:rtl w:val="0"/>
              </w:rPr>
              <w:t>t</w:t>
            </w:r>
            <w:r>
              <w:rPr>
                <w:rFonts w:ascii="Times Roman" w:hAnsi="Times Roman" w:hint="default"/>
                <w:sz w:val="20"/>
                <w:szCs w:val="20"/>
                <w:rtl w:val="0"/>
                <w:lang w:val="fr-FR"/>
              </w:rPr>
              <w:t xml:space="preserve">é </w:t>
            </w:r>
            <w:r>
              <w:rPr>
                <w:rFonts w:ascii="Times Roman" w:hAnsi="Times Roman"/>
                <w:sz w:val="20"/>
                <w:szCs w:val="20"/>
                <w:rtl w:val="0"/>
                <w:lang w:val="nl-NL"/>
              </w:rPr>
              <w:t>recens</w:t>
            </w:r>
            <w:r>
              <w:rPr>
                <w:rFonts w:ascii="Times Roman" w:hAnsi="Times Roman" w:hint="default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Fonts w:ascii="Times Roman" w:hAnsi="Times Roman"/>
                <w:sz w:val="20"/>
                <w:szCs w:val="20"/>
                <w:rtl w:val="0"/>
                <w:lang w:val="fr-FR"/>
              </w:rPr>
              <w:t>s dans le Grand Gen</w:t>
            </w:r>
            <w:r>
              <w:rPr>
                <w:rFonts w:ascii="Times Roman" w:hAnsi="Times Roman" w:hint="default"/>
                <w:sz w:val="20"/>
                <w:szCs w:val="20"/>
                <w:rtl w:val="0"/>
                <w:lang w:val="it-IT"/>
              </w:rPr>
              <w:t>è</w:t>
            </w:r>
            <w:r>
              <w:rPr>
                <w:rFonts w:ascii="Times Roman" w:hAnsi="Times Roman"/>
                <w:sz w:val="20"/>
                <w:szCs w:val="20"/>
                <w:rtl w:val="0"/>
                <w:lang w:val="fr-FR"/>
              </w:rPr>
              <w:t>ve. Afin de faciliter l</w:t>
            </w:r>
            <w:r>
              <w:rPr>
                <w:rFonts w:ascii="Times Roman" w:hAnsi="Times Roman" w:hint="default"/>
                <w:sz w:val="20"/>
                <w:szCs w:val="20"/>
                <w:rtl w:val="0"/>
                <w:lang w:val="fr-FR"/>
              </w:rPr>
              <w:t>’é</w:t>
            </w:r>
            <w:r>
              <w:rPr>
                <w:rFonts w:ascii="Times Roman" w:hAnsi="Times Roman"/>
                <w:sz w:val="20"/>
                <w:szCs w:val="20"/>
                <w:rtl w:val="0"/>
                <w:lang w:val="fr-FR"/>
              </w:rPr>
              <w:t>mergence de projets autour de la th</w:t>
            </w:r>
            <w:r>
              <w:rPr>
                <w:rFonts w:ascii="Times Roman" w:hAnsi="Times Roman" w:hint="default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Fonts w:ascii="Times Roman" w:hAnsi="Times Roman"/>
                <w:sz w:val="20"/>
                <w:szCs w:val="20"/>
                <w:rtl w:val="0"/>
                <w:lang w:val="fr-FR"/>
              </w:rPr>
              <w:t>matique des communs abord</w:t>
            </w:r>
            <w:r>
              <w:rPr>
                <w:rFonts w:ascii="Times Roman" w:hAnsi="Times Roman" w:hint="default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Fonts w:ascii="Times Roman" w:hAnsi="Times Roman"/>
                <w:sz w:val="20"/>
                <w:szCs w:val="20"/>
                <w:rtl w:val="0"/>
                <w:lang w:val="fr-FR"/>
              </w:rPr>
              <w:t>s lors de l</w:t>
            </w:r>
            <w:r>
              <w:rPr>
                <w:rFonts w:ascii="Times Roman" w:hAnsi="Times Roman" w:hint="default"/>
                <w:sz w:val="20"/>
                <w:szCs w:val="20"/>
                <w:rtl w:val="1"/>
              </w:rPr>
              <w:t>’</w:t>
            </w:r>
            <w:r>
              <w:rPr>
                <w:rFonts w:ascii="Times Roman" w:hAnsi="Times Roman"/>
                <w:sz w:val="20"/>
                <w:szCs w:val="20"/>
                <w:rtl w:val="0"/>
                <w:lang w:val="fr-FR"/>
              </w:rPr>
              <w:t xml:space="preserve">atelier du 02 septembre, Smart Geneva a mis </w:t>
            </w:r>
            <w:r>
              <w:rPr>
                <w:rFonts w:ascii="Times Roman" w:hAnsi="Times Roman" w:hint="default"/>
                <w:sz w:val="20"/>
                <w:szCs w:val="20"/>
                <w:rtl w:val="0"/>
              </w:rPr>
              <w:t xml:space="preserve">à </w:t>
            </w:r>
            <w:r>
              <w:rPr>
                <w:rFonts w:ascii="Times Roman" w:hAnsi="Times Roman"/>
                <w:sz w:val="20"/>
                <w:szCs w:val="20"/>
                <w:rtl w:val="0"/>
                <w:lang w:val="fr-FR"/>
              </w:rPr>
              <w:t xml:space="preserve">disposition la liste de ces tiers-lieux est disponible sur le site </w:t>
            </w:r>
            <w:r>
              <w:rPr>
                <w:rStyle w:val="Hyperlink.0"/>
                <w:rFonts w:ascii="Times Roman" w:cs="Times Roman" w:hAnsi="Times Roman" w:eastAsia="Times Roman"/>
                <w:sz w:val="20"/>
                <w:szCs w:val="20"/>
                <w:rtl w:val="0"/>
              </w:rPr>
              <w:fldChar w:fldCharType="begin" w:fldLock="0"/>
            </w:r>
            <w:r>
              <w:rPr>
                <w:rStyle w:val="Hyperlink.0"/>
                <w:rFonts w:ascii="Times Roman" w:cs="Times Roman" w:hAnsi="Times Roman" w:eastAsia="Times Roman"/>
                <w:sz w:val="20"/>
                <w:szCs w:val="20"/>
                <w:rtl w:val="0"/>
              </w:rPr>
              <w:instrText xml:space="preserve"> HYPERLINK "http://smart-geneva.ch"</w:instrText>
            </w:r>
            <w:r>
              <w:rPr>
                <w:rStyle w:val="Hyperlink.0"/>
                <w:rFonts w:ascii="Times Roman" w:cs="Times Roman" w:hAnsi="Times Roman" w:eastAsia="Times Roman"/>
                <w:sz w:val="20"/>
                <w:szCs w:val="20"/>
                <w:rtl w:val="0"/>
              </w:rPr>
              <w:fldChar w:fldCharType="separate" w:fldLock="0"/>
            </w:r>
            <w:r>
              <w:rPr>
                <w:rStyle w:val="Hyperlink.0"/>
                <w:rFonts w:ascii="Times Roman" w:hAnsi="Times Roman"/>
                <w:sz w:val="20"/>
                <w:szCs w:val="20"/>
                <w:rtl w:val="0"/>
                <w:lang w:val="it-IT"/>
              </w:rPr>
              <w:t>smart-geneva.ch</w:t>
            </w:r>
            <w:r>
              <w:rPr>
                <w:rFonts w:ascii="Times Roman" w:cs="Times Roman" w:hAnsi="Times Roman" w:eastAsia="Times Roman"/>
                <w:sz w:val="20"/>
                <w:szCs w:val="20"/>
                <w:rtl w:val="0"/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787" w:hRule="atLeast"/>
        </w:trPr>
        <w:tc>
          <w:tcPr>
            <w:tcW w:type="dxa" w:w="20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Roman" w:hAnsi="Times Roman"/>
                <w:b w:val="1"/>
                <w:bCs w:val="1"/>
                <w:sz w:val="22"/>
                <w:szCs w:val="22"/>
                <w:rtl w:val="0"/>
              </w:rPr>
              <w:t xml:space="preserve">Les rives du lac </w:t>
            </w:r>
          </w:p>
        </w:tc>
        <w:tc>
          <w:tcPr>
            <w:tcW w:type="dxa" w:w="753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0"/>
                <w:szCs w:val="20"/>
                <w:rtl w:val="0"/>
              </w:rPr>
              <w:t>Commun laissant place au questionnement prolong</w:t>
            </w:r>
            <w:r>
              <w:rPr>
                <w:rFonts w:ascii="Times Roman" w:hAnsi="Times Roman" w:hint="default"/>
                <w:sz w:val="20"/>
                <w:szCs w:val="20"/>
                <w:rtl w:val="0"/>
              </w:rPr>
              <w:t xml:space="preserve">é </w:t>
            </w:r>
            <w:r>
              <w:rPr>
                <w:rFonts w:ascii="Times Roman" w:hAnsi="Times Roman"/>
                <w:sz w:val="20"/>
                <w:szCs w:val="20"/>
                <w:rtl w:val="0"/>
              </w:rPr>
              <w:t>sur la personnalit</w:t>
            </w:r>
            <w:r>
              <w:rPr>
                <w:rFonts w:ascii="Times Roman" w:hAnsi="Times Roman" w:hint="default"/>
                <w:sz w:val="20"/>
                <w:szCs w:val="20"/>
                <w:rtl w:val="0"/>
              </w:rPr>
              <w:t xml:space="preserve">é </w:t>
            </w:r>
            <w:r>
              <w:rPr>
                <w:rFonts w:ascii="Times Roman" w:hAnsi="Times Roman"/>
                <w:sz w:val="20"/>
                <w:szCs w:val="20"/>
                <w:rtl w:val="0"/>
              </w:rPr>
              <w:t>juridique du Lac L</w:t>
            </w:r>
            <w:r>
              <w:rPr>
                <w:rFonts w:ascii="Times Roman" w:hAnsi="Times Roman" w:hint="default"/>
                <w:sz w:val="20"/>
                <w:szCs w:val="20"/>
                <w:rtl w:val="0"/>
              </w:rPr>
              <w:t>é</w:t>
            </w:r>
            <w:r>
              <w:rPr>
                <w:rFonts w:ascii="Times Roman" w:hAnsi="Times Roman"/>
                <w:sz w:val="20"/>
                <w:szCs w:val="20"/>
                <w:rtl w:val="0"/>
              </w:rPr>
              <w:t>man. La protection et pr</w:t>
            </w:r>
            <w:r>
              <w:rPr>
                <w:rFonts w:ascii="Times Roman" w:hAnsi="Times Roman" w:hint="default"/>
                <w:sz w:val="20"/>
                <w:szCs w:val="20"/>
                <w:rtl w:val="0"/>
              </w:rPr>
              <w:t>é</w:t>
            </w:r>
            <w:r>
              <w:rPr>
                <w:rFonts w:ascii="Times Roman" w:hAnsi="Times Roman"/>
                <w:sz w:val="20"/>
                <w:szCs w:val="20"/>
                <w:rtl w:val="0"/>
              </w:rPr>
              <w:t xml:space="preserve">servation des ressources vitales </w:t>
            </w:r>
            <w:r>
              <w:rPr>
                <w:rFonts w:ascii="Times Roman" w:hAnsi="Times Roman" w:hint="default"/>
                <w:sz w:val="20"/>
                <w:szCs w:val="20"/>
                <w:rtl w:val="0"/>
              </w:rPr>
              <w:t xml:space="preserve">« </w:t>
            </w:r>
            <w:r>
              <w:rPr>
                <w:rFonts w:ascii="Times Roman" w:hAnsi="Times Roman"/>
                <w:sz w:val="20"/>
                <w:szCs w:val="20"/>
                <w:rtl w:val="0"/>
              </w:rPr>
              <w:t>sacr</w:t>
            </w:r>
            <w:r>
              <w:rPr>
                <w:rFonts w:ascii="Times Roman" w:hAnsi="Times Roman" w:hint="default"/>
                <w:sz w:val="20"/>
                <w:szCs w:val="20"/>
                <w:rtl w:val="0"/>
              </w:rPr>
              <w:t>é</w:t>
            </w:r>
            <w:r>
              <w:rPr>
                <w:rFonts w:ascii="Times Roman" w:hAnsi="Times Roman"/>
                <w:sz w:val="20"/>
                <w:szCs w:val="20"/>
                <w:rtl w:val="0"/>
              </w:rPr>
              <w:t xml:space="preserve">es </w:t>
            </w:r>
            <w:r>
              <w:rPr>
                <w:rFonts w:ascii="Times Roman" w:hAnsi="Times Roman" w:hint="default"/>
                <w:sz w:val="20"/>
                <w:szCs w:val="20"/>
                <w:rtl w:val="0"/>
              </w:rPr>
              <w:t xml:space="preserve">» </w:t>
            </w:r>
            <w:r>
              <w:rPr>
                <w:rFonts w:ascii="Times Roman" w:hAnsi="Times Roman"/>
                <w:sz w:val="20"/>
                <w:szCs w:val="20"/>
                <w:rtl w:val="0"/>
              </w:rPr>
              <w:t xml:space="preserve">(eau, air, sols, </w:t>
            </w:r>
            <w:r>
              <w:rPr>
                <w:rFonts w:ascii="Times Roman" w:hAnsi="Times Roman" w:hint="default"/>
                <w:sz w:val="20"/>
                <w:szCs w:val="20"/>
                <w:rtl w:val="0"/>
              </w:rPr>
              <w:t>é</w:t>
            </w:r>
            <w:r>
              <w:rPr>
                <w:rFonts w:ascii="Times Roman" w:hAnsi="Times Roman"/>
                <w:sz w:val="20"/>
                <w:szCs w:val="20"/>
                <w:rtl w:val="0"/>
              </w:rPr>
              <w:t>nergie</w:t>
            </w:r>
            <w:r>
              <w:rPr>
                <w:rFonts w:ascii="Times Roman" w:hAnsi="Times Roman" w:hint="default"/>
                <w:sz w:val="20"/>
                <w:szCs w:val="20"/>
                <w:rtl w:val="0"/>
              </w:rPr>
              <w:t>…</w:t>
            </w:r>
            <w:r>
              <w:rPr>
                <w:rFonts w:ascii="Times Roman" w:hAnsi="Times Roman"/>
                <w:sz w:val="20"/>
                <w:szCs w:val="20"/>
                <w:rtl w:val="0"/>
              </w:rPr>
              <w:t>) par la cr</w:t>
            </w:r>
            <w:r>
              <w:rPr>
                <w:rFonts w:ascii="Times Roman" w:hAnsi="Times Roman" w:hint="default"/>
                <w:sz w:val="20"/>
                <w:szCs w:val="20"/>
                <w:rtl w:val="0"/>
              </w:rPr>
              <w:t>é</w:t>
            </w:r>
            <w:r>
              <w:rPr>
                <w:rFonts w:ascii="Times Roman" w:hAnsi="Times Roman"/>
                <w:sz w:val="20"/>
                <w:szCs w:val="20"/>
                <w:rtl w:val="0"/>
              </w:rPr>
              <w:t>ation d</w:t>
            </w:r>
            <w:r>
              <w:rPr>
                <w:rFonts w:ascii="Times Roman" w:hAnsi="Times Roman" w:hint="default"/>
                <w:sz w:val="20"/>
                <w:szCs w:val="20"/>
                <w:rtl w:val="0"/>
              </w:rPr>
              <w:t>’</w:t>
            </w:r>
            <w:r>
              <w:rPr>
                <w:rFonts w:ascii="Times Roman" w:hAnsi="Times Roman"/>
                <w:sz w:val="20"/>
                <w:szCs w:val="20"/>
                <w:rtl w:val="0"/>
              </w:rPr>
              <w:t>un statut de commun</w:t>
            </w:r>
          </w:p>
        </w:tc>
      </w:tr>
    </w:tbl>
    <w:p>
      <w:pPr>
        <w:pStyle w:val="Par défaut"/>
        <w:bidi w:val="0"/>
        <w:spacing w:before="0" w:line="240" w:lineRule="auto"/>
        <w:ind w:left="0" w:right="0" w:firstLine="0"/>
        <w:jc w:val="left"/>
        <w:rPr>
          <w:rtl w:val="0"/>
        </w:rPr>
      </w:pP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paragraph" w:styleId="Style de tableau 1">
    <w:name w:val="Style de tableau 1"/>
    <w:next w:val="Style de tableau 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yle de tableau 2">
    <w:name w:val="Style de tableau 2"/>
    <w:next w:val="Style de tableau 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